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BDA3" w14:textId="1E17F75D" w:rsidR="000D0100" w:rsidRDefault="000D0100" w:rsidP="005F148A">
      <w:pPr>
        <w:rPr>
          <w:b/>
          <w:sz w:val="28"/>
          <w:szCs w:val="28"/>
        </w:rPr>
      </w:pPr>
      <w:r>
        <w:rPr>
          <w:b/>
          <w:noProof/>
          <w:sz w:val="28"/>
          <w:szCs w:val="28"/>
        </w:rPr>
        <w:drawing>
          <wp:anchor distT="0" distB="0" distL="114300" distR="114300" simplePos="0" relativeHeight="251658240" behindDoc="1" locked="0" layoutInCell="1" allowOverlap="1" wp14:anchorId="18795EDD" wp14:editId="76AE1AAA">
            <wp:simplePos x="0" y="0"/>
            <wp:positionH relativeFrom="margin">
              <wp:align>center</wp:align>
            </wp:positionH>
            <wp:positionV relativeFrom="paragraph">
              <wp:posOffset>0</wp:posOffset>
            </wp:positionV>
            <wp:extent cx="876935" cy="933450"/>
            <wp:effectExtent l="0" t="0" r="0" b="0"/>
            <wp:wrapTight wrapText="bothSides">
              <wp:wrapPolygon edited="0">
                <wp:start x="938" y="0"/>
                <wp:lineTo x="0" y="2204"/>
                <wp:lineTo x="0" y="7053"/>
                <wp:lineTo x="1408" y="14106"/>
                <wp:lineTo x="3285" y="21159"/>
                <wp:lineTo x="17831" y="21159"/>
                <wp:lineTo x="19707" y="14106"/>
                <wp:lineTo x="21115" y="7053"/>
                <wp:lineTo x="21115" y="2204"/>
                <wp:lineTo x="20177" y="0"/>
                <wp:lineTo x="938" y="0"/>
              </wp:wrapPolygon>
            </wp:wrapTight>
            <wp:docPr id="4" name="Picture 0" descr="PF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P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935" cy="933450"/>
                    </a:xfrm>
                    <a:prstGeom prst="rect">
                      <a:avLst/>
                    </a:prstGeom>
                  </pic:spPr>
                </pic:pic>
              </a:graphicData>
            </a:graphic>
            <wp14:sizeRelH relativeFrom="margin">
              <wp14:pctWidth>0</wp14:pctWidth>
            </wp14:sizeRelH>
            <wp14:sizeRelV relativeFrom="margin">
              <wp14:pctHeight>0</wp14:pctHeight>
            </wp14:sizeRelV>
          </wp:anchor>
        </w:drawing>
      </w:r>
    </w:p>
    <w:p w14:paraId="4CAEA415" w14:textId="77777777" w:rsidR="000D0100" w:rsidRDefault="000D0100" w:rsidP="005F148A">
      <w:pPr>
        <w:rPr>
          <w:b/>
          <w:sz w:val="28"/>
          <w:szCs w:val="28"/>
        </w:rPr>
      </w:pPr>
    </w:p>
    <w:p w14:paraId="4D0E8237" w14:textId="77777777" w:rsidR="00F51350" w:rsidRDefault="00F51350" w:rsidP="00F51350">
      <w:pPr>
        <w:spacing w:after="0"/>
        <w:jc w:val="center"/>
        <w:rPr>
          <w:b/>
          <w:sz w:val="28"/>
          <w:szCs w:val="28"/>
        </w:rPr>
      </w:pPr>
    </w:p>
    <w:p w14:paraId="6623518B" w14:textId="1041F2DB" w:rsidR="00ED496D" w:rsidRDefault="00ED496D" w:rsidP="00F51350">
      <w:pPr>
        <w:spacing w:after="0"/>
        <w:jc w:val="center"/>
        <w:rPr>
          <w:b/>
          <w:sz w:val="28"/>
          <w:szCs w:val="28"/>
        </w:rPr>
      </w:pPr>
      <w:r w:rsidRPr="00A6048B">
        <w:rPr>
          <w:b/>
          <w:sz w:val="28"/>
          <w:szCs w:val="28"/>
        </w:rPr>
        <w:t>P</w:t>
      </w:r>
      <w:r>
        <w:rPr>
          <w:b/>
          <w:sz w:val="28"/>
          <w:szCs w:val="28"/>
        </w:rPr>
        <w:t>ennsylvania Farmland Preservation Association</w:t>
      </w:r>
    </w:p>
    <w:p w14:paraId="03120867" w14:textId="256048F5" w:rsidR="00357826" w:rsidRDefault="008A407B" w:rsidP="00F51350">
      <w:pPr>
        <w:jc w:val="center"/>
        <w:rPr>
          <w:b/>
          <w:sz w:val="28"/>
          <w:szCs w:val="28"/>
        </w:rPr>
      </w:pPr>
      <w:r w:rsidRPr="00A6048B">
        <w:rPr>
          <w:b/>
          <w:sz w:val="28"/>
          <w:szCs w:val="28"/>
        </w:rPr>
        <w:t>Legislation of Interest</w:t>
      </w:r>
      <w:r w:rsidR="00ED496D">
        <w:rPr>
          <w:b/>
          <w:sz w:val="28"/>
          <w:szCs w:val="28"/>
        </w:rPr>
        <w:t xml:space="preserve"> </w:t>
      </w:r>
      <w:r w:rsidR="00ED496D" w:rsidRPr="00A6048B">
        <w:rPr>
          <w:b/>
          <w:sz w:val="28"/>
          <w:szCs w:val="28"/>
        </w:rPr>
        <w:t>–</w:t>
      </w:r>
      <w:r w:rsidR="00ED496D">
        <w:rPr>
          <w:b/>
          <w:sz w:val="28"/>
          <w:szCs w:val="28"/>
        </w:rPr>
        <w:t xml:space="preserve"> </w:t>
      </w:r>
      <w:r w:rsidR="00BD0FC6">
        <w:rPr>
          <w:b/>
          <w:sz w:val="28"/>
          <w:szCs w:val="28"/>
        </w:rPr>
        <w:t>Spring 2026</w:t>
      </w:r>
    </w:p>
    <w:p w14:paraId="624D681C" w14:textId="455D1112" w:rsidR="00B31062" w:rsidRDefault="00032892" w:rsidP="00245A2B">
      <w:pPr>
        <w:spacing w:after="0"/>
        <w:rPr>
          <w:b/>
          <w:bCs/>
          <w:sz w:val="20"/>
          <w:szCs w:val="20"/>
          <w:u w:val="single"/>
        </w:rPr>
      </w:pPr>
      <w:r w:rsidRPr="00032892">
        <w:rPr>
          <w:b/>
          <w:bCs/>
          <w:sz w:val="20"/>
          <w:szCs w:val="20"/>
          <w:u w:val="single"/>
        </w:rPr>
        <w:t>Amending Act 43</w:t>
      </w:r>
    </w:p>
    <w:p w14:paraId="1A17252E" w14:textId="77777777" w:rsidR="00245A2B" w:rsidRPr="00032892" w:rsidRDefault="00245A2B" w:rsidP="00245A2B">
      <w:pPr>
        <w:spacing w:after="0"/>
        <w:rPr>
          <w:b/>
          <w:bCs/>
          <w:sz w:val="20"/>
          <w:szCs w:val="20"/>
          <w:u w:val="single"/>
        </w:rPr>
      </w:pPr>
    </w:p>
    <w:p w14:paraId="1D30CA66" w14:textId="23BDBD57" w:rsidR="00933064" w:rsidRDefault="00933064" w:rsidP="00E54B4C">
      <w:pPr>
        <w:rPr>
          <w:b/>
          <w:sz w:val="20"/>
          <w:szCs w:val="20"/>
        </w:rPr>
      </w:pPr>
      <w:bookmarkStart w:id="0" w:name="_Hlk21499536"/>
      <w:bookmarkStart w:id="1" w:name="_Hlk21499006"/>
      <w:r>
        <w:rPr>
          <w:b/>
          <w:sz w:val="20"/>
          <w:szCs w:val="20"/>
        </w:rPr>
        <w:t>SB 339</w:t>
      </w:r>
      <w:r>
        <w:rPr>
          <w:b/>
          <w:sz w:val="20"/>
          <w:szCs w:val="20"/>
        </w:rPr>
        <w:tab/>
      </w:r>
      <w:r>
        <w:rPr>
          <w:b/>
          <w:sz w:val="20"/>
          <w:szCs w:val="20"/>
        </w:rPr>
        <w:tab/>
        <w:t>Mastriano</w:t>
      </w:r>
    </w:p>
    <w:p w14:paraId="710A967B" w14:textId="73C125B0" w:rsidR="00933064" w:rsidRDefault="00933064" w:rsidP="00933064">
      <w:pPr>
        <w:ind w:left="1440" w:hanging="1440"/>
        <w:rPr>
          <w:bCs/>
          <w:sz w:val="20"/>
          <w:szCs w:val="20"/>
        </w:rPr>
      </w:pPr>
      <w:r>
        <w:rPr>
          <w:b/>
          <w:sz w:val="20"/>
          <w:szCs w:val="20"/>
        </w:rPr>
        <w:t>Short Title:</w:t>
      </w:r>
      <w:r>
        <w:rPr>
          <w:b/>
          <w:sz w:val="20"/>
          <w:szCs w:val="20"/>
        </w:rPr>
        <w:tab/>
      </w:r>
      <w:r w:rsidRPr="00933064">
        <w:rPr>
          <w:bCs/>
          <w:sz w:val="20"/>
          <w:szCs w:val="20"/>
        </w:rPr>
        <w:t>An Act amending the act of June 30, 1981 (P.L.128, No.43), known as the Agricultural Area Security Law, further providing for purchase of agricultural conservation easements and for Agricultural Conservation Easement Purchase Fund</w:t>
      </w:r>
    </w:p>
    <w:p w14:paraId="0FFAA988" w14:textId="1BD6AEAC" w:rsidR="00933064" w:rsidRDefault="00933064" w:rsidP="00933064">
      <w:pPr>
        <w:ind w:left="1440" w:hanging="1440"/>
        <w:rPr>
          <w:bCs/>
          <w:sz w:val="20"/>
          <w:szCs w:val="20"/>
        </w:rPr>
      </w:pPr>
      <w:r>
        <w:rPr>
          <w:b/>
          <w:sz w:val="20"/>
          <w:szCs w:val="20"/>
        </w:rPr>
        <w:t>Summary:</w:t>
      </w:r>
      <w:r>
        <w:rPr>
          <w:b/>
          <w:sz w:val="20"/>
          <w:szCs w:val="20"/>
        </w:rPr>
        <w:tab/>
      </w:r>
      <w:r w:rsidRPr="00933064">
        <w:rPr>
          <w:bCs/>
          <w:sz w:val="20"/>
          <w:szCs w:val="20"/>
        </w:rPr>
        <w:t>I</w:t>
      </w:r>
      <w:r w:rsidRPr="00933064">
        <w:rPr>
          <w:bCs/>
          <w:sz w:val="20"/>
          <w:szCs w:val="20"/>
        </w:rPr>
        <w:t>ncreas</w:t>
      </w:r>
      <w:r w:rsidR="00637E5A">
        <w:rPr>
          <w:bCs/>
          <w:sz w:val="20"/>
          <w:szCs w:val="20"/>
        </w:rPr>
        <w:t>es</w:t>
      </w:r>
      <w:r w:rsidRPr="00933064">
        <w:rPr>
          <w:bCs/>
          <w:sz w:val="20"/>
          <w:szCs w:val="20"/>
        </w:rPr>
        <w:t xml:space="preserve"> dedicated annual funding by earmarking 10% of the existing realty transfer tax to support the easement program</w:t>
      </w:r>
      <w:r w:rsidR="00637E5A">
        <w:rPr>
          <w:bCs/>
          <w:sz w:val="20"/>
          <w:szCs w:val="20"/>
        </w:rPr>
        <w:t>,</w:t>
      </w:r>
      <w:r>
        <w:rPr>
          <w:bCs/>
          <w:sz w:val="20"/>
          <w:szCs w:val="20"/>
        </w:rPr>
        <w:t xml:space="preserve"> </w:t>
      </w:r>
      <w:r w:rsidR="00637E5A" w:rsidRPr="00637E5A">
        <w:rPr>
          <w:bCs/>
          <w:sz w:val="20"/>
          <w:szCs w:val="20"/>
        </w:rPr>
        <w:t>reduc</w:t>
      </w:r>
      <w:r w:rsidR="00637E5A">
        <w:rPr>
          <w:bCs/>
          <w:sz w:val="20"/>
          <w:szCs w:val="20"/>
        </w:rPr>
        <w:t>es</w:t>
      </w:r>
      <w:r w:rsidR="00637E5A" w:rsidRPr="00637E5A">
        <w:rPr>
          <w:bCs/>
          <w:sz w:val="20"/>
          <w:szCs w:val="20"/>
        </w:rPr>
        <w:t xml:space="preserve"> the minimum subdivision size for preserved farmland from 50 acres to 25 acres</w:t>
      </w:r>
      <w:r w:rsidR="00637E5A">
        <w:rPr>
          <w:bCs/>
          <w:sz w:val="20"/>
          <w:szCs w:val="20"/>
        </w:rPr>
        <w:t xml:space="preserve">, and will </w:t>
      </w:r>
      <w:r w:rsidR="00637E5A" w:rsidRPr="00637E5A">
        <w:rPr>
          <w:bCs/>
          <w:sz w:val="20"/>
          <w:szCs w:val="20"/>
        </w:rPr>
        <w:t>allow parcels of less than 10 acres that are adjacent to preserved land or used for the production of area-specific crops to qualify for the easement program</w:t>
      </w:r>
      <w:r w:rsidR="00637E5A">
        <w:rPr>
          <w:bCs/>
          <w:sz w:val="20"/>
          <w:szCs w:val="20"/>
        </w:rPr>
        <w:t>.</w:t>
      </w:r>
    </w:p>
    <w:p w14:paraId="5E39B318" w14:textId="6A79C9CC" w:rsidR="00637E5A" w:rsidRDefault="00637E5A" w:rsidP="00933064">
      <w:pPr>
        <w:ind w:left="1440" w:hanging="1440"/>
        <w:rPr>
          <w:b/>
          <w:sz w:val="20"/>
          <w:szCs w:val="20"/>
        </w:rPr>
      </w:pPr>
      <w:r>
        <w:rPr>
          <w:b/>
          <w:sz w:val="20"/>
          <w:szCs w:val="20"/>
        </w:rPr>
        <w:t>Status:</w:t>
      </w:r>
      <w:r>
        <w:rPr>
          <w:b/>
          <w:sz w:val="20"/>
          <w:szCs w:val="20"/>
        </w:rPr>
        <w:tab/>
      </w:r>
      <w:hyperlink r:id="rId6" w:history="1">
        <w:r w:rsidRPr="00637E5A">
          <w:rPr>
            <w:rStyle w:val="Hyperlink"/>
            <w:b/>
            <w:color w:val="auto"/>
            <w:sz w:val="20"/>
            <w:szCs w:val="20"/>
            <w:u w:val="none"/>
          </w:rPr>
          <w:t>Ag</w:t>
        </w:r>
        <w:r w:rsidRPr="00637E5A">
          <w:rPr>
            <w:rStyle w:val="Hyperlink"/>
            <w:b/>
            <w:color w:val="auto"/>
            <w:sz w:val="20"/>
            <w:szCs w:val="20"/>
            <w:u w:val="none"/>
          </w:rPr>
          <w:t>.</w:t>
        </w:r>
        <w:r w:rsidRPr="00637E5A">
          <w:rPr>
            <w:rStyle w:val="Hyperlink"/>
            <w:b/>
            <w:color w:val="auto"/>
            <w:sz w:val="20"/>
            <w:szCs w:val="20"/>
            <w:u w:val="none"/>
          </w:rPr>
          <w:t xml:space="preserve"> &amp; Rural Affairs</w:t>
        </w:r>
      </w:hyperlink>
      <w:r w:rsidRPr="00637E5A">
        <w:rPr>
          <w:b/>
          <w:sz w:val="20"/>
          <w:szCs w:val="20"/>
        </w:rPr>
        <w:t xml:space="preserve">, </w:t>
      </w:r>
      <w:r>
        <w:rPr>
          <w:b/>
          <w:sz w:val="20"/>
          <w:szCs w:val="20"/>
        </w:rPr>
        <w:t>Senate (</w:t>
      </w:r>
      <w:r w:rsidRPr="00637E5A">
        <w:rPr>
          <w:b/>
          <w:sz w:val="20"/>
          <w:szCs w:val="20"/>
        </w:rPr>
        <w:t>Feb. 26, 2025</w:t>
      </w:r>
      <w:r>
        <w:rPr>
          <w:b/>
          <w:sz w:val="20"/>
          <w:szCs w:val="20"/>
        </w:rPr>
        <w:t>)</w:t>
      </w:r>
    </w:p>
    <w:p w14:paraId="4565F393" w14:textId="77777777" w:rsidR="00933064" w:rsidRDefault="00933064" w:rsidP="00E54B4C">
      <w:pPr>
        <w:rPr>
          <w:b/>
          <w:sz w:val="20"/>
          <w:szCs w:val="20"/>
        </w:rPr>
      </w:pPr>
    </w:p>
    <w:p w14:paraId="64A93076" w14:textId="73D17442" w:rsidR="00E54B4C" w:rsidRDefault="00E54B4C" w:rsidP="00E54B4C">
      <w:pPr>
        <w:rPr>
          <w:b/>
          <w:sz w:val="20"/>
          <w:szCs w:val="20"/>
        </w:rPr>
      </w:pPr>
      <w:r>
        <w:rPr>
          <w:b/>
          <w:sz w:val="20"/>
          <w:szCs w:val="20"/>
        </w:rPr>
        <w:t>HB 1059</w:t>
      </w:r>
      <w:r>
        <w:rPr>
          <w:b/>
          <w:sz w:val="20"/>
          <w:szCs w:val="20"/>
        </w:rPr>
        <w:tab/>
      </w:r>
      <w:r>
        <w:rPr>
          <w:b/>
          <w:sz w:val="20"/>
          <w:szCs w:val="20"/>
        </w:rPr>
        <w:tab/>
        <w:t>Brennan</w:t>
      </w:r>
    </w:p>
    <w:p w14:paraId="49B506A5" w14:textId="77777777" w:rsidR="00E54B4C" w:rsidRPr="00AA51D1" w:rsidRDefault="00E54B4C" w:rsidP="00E54B4C">
      <w:pPr>
        <w:ind w:left="1440" w:hanging="1440"/>
        <w:rPr>
          <w:bCs/>
          <w:sz w:val="20"/>
          <w:szCs w:val="20"/>
        </w:rPr>
      </w:pPr>
      <w:r>
        <w:rPr>
          <w:b/>
          <w:sz w:val="20"/>
          <w:szCs w:val="20"/>
        </w:rPr>
        <w:t>Short Title:</w:t>
      </w:r>
      <w:r>
        <w:rPr>
          <w:b/>
          <w:sz w:val="20"/>
          <w:szCs w:val="20"/>
        </w:rPr>
        <w:tab/>
      </w:r>
      <w:r w:rsidRPr="00C97375">
        <w:rPr>
          <w:bCs/>
          <w:sz w:val="20"/>
          <w:szCs w:val="20"/>
        </w:rPr>
        <w:t>An Act amending the act of June 30, 1981 (P.L.128, No.43), known as the Agricultural Area Security Law, further providing for purchase of agricultural conservation easements, for Agricultural Conservation Easement Purchase Fund and for Land Trust Reimbursement Program.</w:t>
      </w:r>
    </w:p>
    <w:p w14:paraId="40CCB15F" w14:textId="77777777" w:rsidR="00E54B4C" w:rsidRPr="00C97375" w:rsidRDefault="00E54B4C" w:rsidP="00E54B4C">
      <w:pPr>
        <w:spacing w:line="240" w:lineRule="auto"/>
        <w:ind w:left="1440" w:hanging="1440"/>
        <w:rPr>
          <w:b/>
          <w:sz w:val="20"/>
          <w:szCs w:val="20"/>
        </w:rPr>
      </w:pPr>
      <w:r>
        <w:rPr>
          <w:b/>
          <w:sz w:val="20"/>
          <w:szCs w:val="20"/>
        </w:rPr>
        <w:t>Summary:</w:t>
      </w:r>
      <w:r>
        <w:rPr>
          <w:b/>
          <w:sz w:val="20"/>
          <w:szCs w:val="20"/>
        </w:rPr>
        <w:tab/>
      </w:r>
      <w:r>
        <w:rPr>
          <w:bCs/>
          <w:sz w:val="20"/>
          <w:szCs w:val="20"/>
        </w:rPr>
        <w:t xml:space="preserve">Will </w:t>
      </w:r>
      <w:r w:rsidRPr="00C97375">
        <w:rPr>
          <w:bCs/>
          <w:sz w:val="20"/>
          <w:szCs w:val="20"/>
        </w:rPr>
        <w:t>direct a portion of the state-allocated farmland preservation funding to be set-aside annually for use by land trusts to preserve farms. Farms must meet all state minimum criteria.  The use of these funds will not require the county to be a party to the agricultural conservation easement, but land trusts will have to provide matching dollars to be reimbursed for the purchase costs of an easement. If a land trust ceases to exist, any easements purchased with state-allocated dollars will be transferred to the county or the state.</w:t>
      </w:r>
    </w:p>
    <w:p w14:paraId="07BD63A7" w14:textId="77777777" w:rsidR="00E54B4C" w:rsidRDefault="00E54B4C" w:rsidP="00E54B4C">
      <w:pPr>
        <w:rPr>
          <w:b/>
          <w:sz w:val="20"/>
          <w:szCs w:val="20"/>
        </w:rPr>
      </w:pPr>
      <w:r>
        <w:rPr>
          <w:b/>
          <w:sz w:val="20"/>
          <w:szCs w:val="20"/>
        </w:rPr>
        <w:t>Status:</w:t>
      </w:r>
      <w:r>
        <w:rPr>
          <w:b/>
          <w:sz w:val="20"/>
          <w:szCs w:val="20"/>
        </w:rPr>
        <w:tab/>
      </w:r>
      <w:r>
        <w:rPr>
          <w:b/>
          <w:sz w:val="20"/>
          <w:szCs w:val="20"/>
        </w:rPr>
        <w:tab/>
      </w:r>
      <w:r w:rsidRPr="002E60D9">
        <w:rPr>
          <w:b/>
          <w:sz w:val="20"/>
          <w:szCs w:val="20"/>
        </w:rPr>
        <w:t xml:space="preserve">Ag. and Rural Affairs, </w:t>
      </w:r>
      <w:r>
        <w:rPr>
          <w:b/>
          <w:sz w:val="20"/>
          <w:szCs w:val="20"/>
        </w:rPr>
        <w:t>House (March 26, 2025)</w:t>
      </w:r>
      <w:r w:rsidRPr="00835006">
        <w:rPr>
          <w:b/>
          <w:sz w:val="20"/>
          <w:szCs w:val="20"/>
        </w:rPr>
        <w:t xml:space="preserve"> </w:t>
      </w:r>
    </w:p>
    <w:p w14:paraId="07A4C4DB" w14:textId="3C62BD8E" w:rsidR="00E54B4C" w:rsidRDefault="00E54B4C" w:rsidP="00E54B4C">
      <w:pPr>
        <w:rPr>
          <w:b/>
          <w:sz w:val="20"/>
          <w:szCs w:val="20"/>
        </w:rPr>
      </w:pPr>
      <w:r w:rsidRPr="00835006">
        <w:rPr>
          <w:b/>
          <w:sz w:val="20"/>
          <w:szCs w:val="20"/>
        </w:rPr>
        <w:t>PFPA Position:</w:t>
      </w:r>
      <w:r>
        <w:rPr>
          <w:b/>
          <w:sz w:val="20"/>
          <w:szCs w:val="20"/>
        </w:rPr>
        <w:tab/>
        <w:t xml:space="preserve">Oppose </w:t>
      </w:r>
      <w:r>
        <w:rPr>
          <w:b/>
          <w:sz w:val="20"/>
          <w:szCs w:val="20"/>
        </w:rPr>
        <w:t>(fall 2025)</w:t>
      </w:r>
    </w:p>
    <w:p w14:paraId="1ADDBD2C" w14:textId="77777777" w:rsidR="00E54B4C" w:rsidRDefault="00E54B4C" w:rsidP="00E54B4C">
      <w:pPr>
        <w:rPr>
          <w:b/>
          <w:sz w:val="20"/>
          <w:szCs w:val="20"/>
        </w:rPr>
      </w:pPr>
    </w:p>
    <w:p w14:paraId="563F340D" w14:textId="77777777" w:rsidR="00E54B4C" w:rsidRPr="00204602" w:rsidRDefault="00E54B4C" w:rsidP="00E54B4C">
      <w:pPr>
        <w:rPr>
          <w:b/>
          <w:sz w:val="20"/>
          <w:szCs w:val="20"/>
        </w:rPr>
      </w:pPr>
      <w:r w:rsidRPr="00204602">
        <w:rPr>
          <w:b/>
          <w:sz w:val="20"/>
          <w:szCs w:val="20"/>
        </w:rPr>
        <w:t>HB 1584</w:t>
      </w:r>
      <w:r w:rsidRPr="00204602">
        <w:rPr>
          <w:b/>
          <w:sz w:val="20"/>
          <w:szCs w:val="20"/>
        </w:rPr>
        <w:tab/>
      </w:r>
      <w:r w:rsidRPr="00204602">
        <w:rPr>
          <w:b/>
          <w:sz w:val="20"/>
          <w:szCs w:val="20"/>
        </w:rPr>
        <w:tab/>
        <w:t>Greiner</w:t>
      </w:r>
    </w:p>
    <w:p w14:paraId="51BCC4B7" w14:textId="77777777" w:rsidR="00E54B4C" w:rsidRDefault="00E54B4C" w:rsidP="00E54B4C">
      <w:pPr>
        <w:ind w:left="1440" w:hanging="1440"/>
        <w:rPr>
          <w:sz w:val="20"/>
          <w:szCs w:val="20"/>
        </w:rPr>
      </w:pPr>
      <w:r w:rsidRPr="00204602">
        <w:rPr>
          <w:b/>
          <w:sz w:val="20"/>
          <w:szCs w:val="20"/>
        </w:rPr>
        <w:t>Summary:</w:t>
      </w:r>
      <w:r w:rsidRPr="00204602">
        <w:rPr>
          <w:b/>
          <w:sz w:val="20"/>
          <w:szCs w:val="20"/>
        </w:rPr>
        <w:tab/>
      </w:r>
      <w:r w:rsidRPr="00204602">
        <w:rPr>
          <w:b/>
          <w:bCs/>
          <w:sz w:val="20"/>
          <w:szCs w:val="20"/>
        </w:rPr>
        <w:t>Legislation that will provide for the preservation of small parcels of farmland under limited circumstances. </w:t>
      </w:r>
      <w:r w:rsidRPr="00204602">
        <w:rPr>
          <w:b/>
          <w:bCs/>
          <w:sz w:val="20"/>
          <w:szCs w:val="20"/>
        </w:rPr>
        <w:br/>
        <w:t> </w:t>
      </w:r>
      <w:r w:rsidRPr="00204602">
        <w:rPr>
          <w:b/>
          <w:bCs/>
          <w:sz w:val="20"/>
          <w:szCs w:val="20"/>
        </w:rPr>
        <w:br/>
      </w:r>
      <w:r>
        <w:rPr>
          <w:sz w:val="20"/>
          <w:szCs w:val="20"/>
        </w:rPr>
        <w:t>From Co-Sposorship Memo:</w:t>
      </w:r>
    </w:p>
    <w:p w14:paraId="51D39332" w14:textId="77777777" w:rsidR="00E54B4C" w:rsidRDefault="00E54B4C" w:rsidP="00E54B4C">
      <w:pPr>
        <w:ind w:left="1440"/>
        <w:rPr>
          <w:sz w:val="20"/>
          <w:szCs w:val="20"/>
        </w:rPr>
      </w:pPr>
      <w:r w:rsidRPr="00204602">
        <w:rPr>
          <w:sz w:val="20"/>
          <w:szCs w:val="20"/>
        </w:rPr>
        <w:t xml:space="preserve">The current law does not provide for the preservation of parcels less than ten acres in size. The current law likewise requires a minimum of 10 acres for a subdivision of already-preserved farmland. There are numerous circumstances where parcels of less than 10 acres are not preserved, are contiguous to already-preserved farmland, and the adjoining preserved farm owner wishes to add the smaller parcel to his or her preserved farm. There are likewise circumstances where contiguous preserved farm owners wish to convey smaller parcels from </w:t>
      </w:r>
      <w:r w:rsidRPr="00204602">
        <w:rPr>
          <w:sz w:val="20"/>
          <w:szCs w:val="20"/>
        </w:rPr>
        <w:lastRenderedPageBreak/>
        <w:t>one owner to the other.</w:t>
      </w:r>
      <w:r w:rsidRPr="00204602">
        <w:rPr>
          <w:sz w:val="20"/>
          <w:szCs w:val="20"/>
        </w:rPr>
        <w:br/>
        <w:t> </w:t>
      </w:r>
      <w:r w:rsidRPr="00204602">
        <w:rPr>
          <w:sz w:val="20"/>
          <w:szCs w:val="20"/>
        </w:rPr>
        <w:br/>
        <w:t>This legislation will require a county farmland preservation program to provide for such small-parcel preservation and subdivision and further, insulate any transfers from triggering roll-back tax penalties under the Clean and Green preferential tax assessment program.</w:t>
      </w:r>
    </w:p>
    <w:p w14:paraId="3CC2C286" w14:textId="77777777" w:rsidR="00E54B4C" w:rsidRDefault="00E54B4C" w:rsidP="00E54B4C">
      <w:pPr>
        <w:ind w:left="1440" w:hanging="1440"/>
        <w:rPr>
          <w:b/>
          <w:bCs/>
          <w:sz w:val="20"/>
          <w:szCs w:val="20"/>
        </w:rPr>
      </w:pPr>
      <w:r>
        <w:rPr>
          <w:b/>
          <w:sz w:val="20"/>
          <w:szCs w:val="20"/>
        </w:rPr>
        <w:t>Status:</w:t>
      </w:r>
      <w:r>
        <w:rPr>
          <w:sz w:val="20"/>
          <w:szCs w:val="20"/>
        </w:rPr>
        <w:tab/>
      </w:r>
      <w:r>
        <w:rPr>
          <w:b/>
          <w:bCs/>
          <w:sz w:val="20"/>
          <w:szCs w:val="20"/>
        </w:rPr>
        <w:t>Laid on the Table (September 10, 2025</w:t>
      </w:r>
      <w:r w:rsidRPr="00204602">
        <w:rPr>
          <w:b/>
          <w:bCs/>
          <w:sz w:val="20"/>
          <w:szCs w:val="20"/>
        </w:rPr>
        <w:t>)</w:t>
      </w:r>
    </w:p>
    <w:p w14:paraId="05255896" w14:textId="71D08501" w:rsidR="00204602" w:rsidRPr="00204602" w:rsidRDefault="00204602" w:rsidP="00204602">
      <w:pPr>
        <w:ind w:left="1440" w:hanging="1440"/>
        <w:rPr>
          <w:sz w:val="20"/>
          <w:szCs w:val="20"/>
        </w:rPr>
      </w:pPr>
      <w:r>
        <w:rPr>
          <w:b/>
          <w:bCs/>
          <w:sz w:val="20"/>
          <w:szCs w:val="20"/>
        </w:rPr>
        <w:t>PFPA Position:</w:t>
      </w:r>
      <w:r>
        <w:rPr>
          <w:b/>
          <w:bCs/>
          <w:sz w:val="20"/>
          <w:szCs w:val="20"/>
        </w:rPr>
        <w:tab/>
      </w:r>
    </w:p>
    <w:p w14:paraId="22CE6CB5" w14:textId="0E1E5779" w:rsidR="00E54B4C" w:rsidRPr="00E54B4C" w:rsidRDefault="00E54B4C" w:rsidP="00B80100">
      <w:pPr>
        <w:rPr>
          <w:b/>
          <w:sz w:val="20"/>
          <w:szCs w:val="20"/>
        </w:rPr>
      </w:pPr>
    </w:p>
    <w:p w14:paraId="4D2D2A79" w14:textId="77777777" w:rsidR="00E54B4C" w:rsidRPr="00664F3C" w:rsidRDefault="00E54B4C" w:rsidP="00E54B4C">
      <w:pPr>
        <w:rPr>
          <w:b/>
          <w:sz w:val="20"/>
          <w:szCs w:val="20"/>
        </w:rPr>
      </w:pPr>
    </w:p>
    <w:p w14:paraId="248850AD" w14:textId="77777777" w:rsidR="00204602" w:rsidRDefault="00204602" w:rsidP="00F31280">
      <w:pPr>
        <w:rPr>
          <w:b/>
          <w:sz w:val="20"/>
          <w:szCs w:val="20"/>
        </w:rPr>
      </w:pPr>
    </w:p>
    <w:p w14:paraId="1F9DEB11" w14:textId="77777777" w:rsidR="00245A2B" w:rsidRPr="00F31280" w:rsidRDefault="00245A2B" w:rsidP="00F31280">
      <w:pPr>
        <w:rPr>
          <w:bCs/>
          <w:sz w:val="20"/>
          <w:szCs w:val="20"/>
        </w:rPr>
      </w:pPr>
    </w:p>
    <w:p w14:paraId="26D6DAC3" w14:textId="731A252E" w:rsidR="00245A2B" w:rsidRDefault="002F1B47" w:rsidP="00245A2B">
      <w:pPr>
        <w:ind w:left="1440" w:hanging="1440"/>
        <w:rPr>
          <w:b/>
          <w:sz w:val="20"/>
          <w:szCs w:val="20"/>
          <w:u w:val="single"/>
        </w:rPr>
      </w:pPr>
      <w:r w:rsidRPr="002F1B47">
        <w:rPr>
          <w:b/>
          <w:sz w:val="20"/>
          <w:szCs w:val="20"/>
        </w:rPr>
        <w:br/>
      </w:r>
      <w:bookmarkEnd w:id="0"/>
      <w:bookmarkEnd w:id="1"/>
    </w:p>
    <w:sectPr w:rsidR="00245A2B" w:rsidSect="00116A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A684E"/>
    <w:multiLevelType w:val="multilevel"/>
    <w:tmpl w:val="A8BA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D668D"/>
    <w:multiLevelType w:val="multilevel"/>
    <w:tmpl w:val="160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A63DC1"/>
    <w:multiLevelType w:val="multilevel"/>
    <w:tmpl w:val="BB2AD4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503930491">
    <w:abstractNumId w:val="1"/>
  </w:num>
  <w:num w:numId="2" w16cid:durableId="194005780">
    <w:abstractNumId w:val="0"/>
  </w:num>
  <w:num w:numId="3" w16cid:durableId="197819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07B"/>
    <w:rsid w:val="000061DC"/>
    <w:rsid w:val="00014735"/>
    <w:rsid w:val="0002638E"/>
    <w:rsid w:val="00026DBD"/>
    <w:rsid w:val="00031079"/>
    <w:rsid w:val="00032892"/>
    <w:rsid w:val="00033B55"/>
    <w:rsid w:val="00035173"/>
    <w:rsid w:val="00037F81"/>
    <w:rsid w:val="00044A76"/>
    <w:rsid w:val="00044FA6"/>
    <w:rsid w:val="000616DE"/>
    <w:rsid w:val="000621D7"/>
    <w:rsid w:val="00063DF1"/>
    <w:rsid w:val="00064409"/>
    <w:rsid w:val="00064BCC"/>
    <w:rsid w:val="00067226"/>
    <w:rsid w:val="00067383"/>
    <w:rsid w:val="00067DD0"/>
    <w:rsid w:val="00072AF6"/>
    <w:rsid w:val="00074276"/>
    <w:rsid w:val="0007468F"/>
    <w:rsid w:val="00075132"/>
    <w:rsid w:val="0007736A"/>
    <w:rsid w:val="000865B5"/>
    <w:rsid w:val="00093087"/>
    <w:rsid w:val="000A5F35"/>
    <w:rsid w:val="000A6715"/>
    <w:rsid w:val="000A68BB"/>
    <w:rsid w:val="000A6FB1"/>
    <w:rsid w:val="000B167A"/>
    <w:rsid w:val="000B18E7"/>
    <w:rsid w:val="000B1E03"/>
    <w:rsid w:val="000B2907"/>
    <w:rsid w:val="000B5D7D"/>
    <w:rsid w:val="000C2222"/>
    <w:rsid w:val="000C4956"/>
    <w:rsid w:val="000D0100"/>
    <w:rsid w:val="000D3879"/>
    <w:rsid w:val="000D4854"/>
    <w:rsid w:val="000D4A51"/>
    <w:rsid w:val="000E08F7"/>
    <w:rsid w:val="000E4C9F"/>
    <w:rsid w:val="000F2695"/>
    <w:rsid w:val="000F3C9A"/>
    <w:rsid w:val="000F69BA"/>
    <w:rsid w:val="0010283D"/>
    <w:rsid w:val="0011060F"/>
    <w:rsid w:val="00116A03"/>
    <w:rsid w:val="001302D9"/>
    <w:rsid w:val="00135097"/>
    <w:rsid w:val="00136054"/>
    <w:rsid w:val="00140A20"/>
    <w:rsid w:val="00155F24"/>
    <w:rsid w:val="00163B39"/>
    <w:rsid w:val="001669DB"/>
    <w:rsid w:val="00171E5E"/>
    <w:rsid w:val="0018127D"/>
    <w:rsid w:val="0018528B"/>
    <w:rsid w:val="0019354D"/>
    <w:rsid w:val="001976A9"/>
    <w:rsid w:val="001A2597"/>
    <w:rsid w:val="001A4226"/>
    <w:rsid w:val="001A52A8"/>
    <w:rsid w:val="001A5D90"/>
    <w:rsid w:val="001C31C3"/>
    <w:rsid w:val="001C615A"/>
    <w:rsid w:val="001C6839"/>
    <w:rsid w:val="001C7DAE"/>
    <w:rsid w:val="001D04A4"/>
    <w:rsid w:val="001E5109"/>
    <w:rsid w:val="001E7997"/>
    <w:rsid w:val="001F2053"/>
    <w:rsid w:val="00204602"/>
    <w:rsid w:val="00212185"/>
    <w:rsid w:val="002129E7"/>
    <w:rsid w:val="002205EE"/>
    <w:rsid w:val="00222E52"/>
    <w:rsid w:val="0022358C"/>
    <w:rsid w:val="0022421D"/>
    <w:rsid w:val="00227B14"/>
    <w:rsid w:val="0023323C"/>
    <w:rsid w:val="002345B0"/>
    <w:rsid w:val="002370A7"/>
    <w:rsid w:val="00245A2B"/>
    <w:rsid w:val="00250AD4"/>
    <w:rsid w:val="00256793"/>
    <w:rsid w:val="00270FB7"/>
    <w:rsid w:val="002752D2"/>
    <w:rsid w:val="00283149"/>
    <w:rsid w:val="0028402F"/>
    <w:rsid w:val="002849B9"/>
    <w:rsid w:val="002901F2"/>
    <w:rsid w:val="00293B9E"/>
    <w:rsid w:val="00293C8E"/>
    <w:rsid w:val="0029784F"/>
    <w:rsid w:val="002A79A4"/>
    <w:rsid w:val="002B290E"/>
    <w:rsid w:val="002C704E"/>
    <w:rsid w:val="002C7B9B"/>
    <w:rsid w:val="002D02DF"/>
    <w:rsid w:val="002D2FD6"/>
    <w:rsid w:val="002E60D9"/>
    <w:rsid w:val="002E7FAD"/>
    <w:rsid w:val="002F1B47"/>
    <w:rsid w:val="002F3043"/>
    <w:rsid w:val="002F5B8E"/>
    <w:rsid w:val="002F705E"/>
    <w:rsid w:val="00302039"/>
    <w:rsid w:val="00306CAA"/>
    <w:rsid w:val="0030753A"/>
    <w:rsid w:val="00307CB3"/>
    <w:rsid w:val="00310C7B"/>
    <w:rsid w:val="00316952"/>
    <w:rsid w:val="00326CBE"/>
    <w:rsid w:val="00332C19"/>
    <w:rsid w:val="00333CB0"/>
    <w:rsid w:val="00335905"/>
    <w:rsid w:val="003458F5"/>
    <w:rsid w:val="003507EA"/>
    <w:rsid w:val="00351916"/>
    <w:rsid w:val="0035246C"/>
    <w:rsid w:val="00357826"/>
    <w:rsid w:val="00361114"/>
    <w:rsid w:val="00365D7C"/>
    <w:rsid w:val="0037320A"/>
    <w:rsid w:val="00376008"/>
    <w:rsid w:val="00377002"/>
    <w:rsid w:val="0038487E"/>
    <w:rsid w:val="00391043"/>
    <w:rsid w:val="003976D9"/>
    <w:rsid w:val="003A17CF"/>
    <w:rsid w:val="003A752E"/>
    <w:rsid w:val="003B17D3"/>
    <w:rsid w:val="003B4062"/>
    <w:rsid w:val="003B5A30"/>
    <w:rsid w:val="003B5A90"/>
    <w:rsid w:val="003B74BE"/>
    <w:rsid w:val="003C0326"/>
    <w:rsid w:val="003C07CF"/>
    <w:rsid w:val="003C4168"/>
    <w:rsid w:val="003C4A7D"/>
    <w:rsid w:val="003C4F40"/>
    <w:rsid w:val="003D2646"/>
    <w:rsid w:val="003D6495"/>
    <w:rsid w:val="003E2FFC"/>
    <w:rsid w:val="003E531A"/>
    <w:rsid w:val="003E79DE"/>
    <w:rsid w:val="003F0E82"/>
    <w:rsid w:val="003F123B"/>
    <w:rsid w:val="003F3519"/>
    <w:rsid w:val="003F4CA3"/>
    <w:rsid w:val="00403F14"/>
    <w:rsid w:val="0041692E"/>
    <w:rsid w:val="00425367"/>
    <w:rsid w:val="00432405"/>
    <w:rsid w:val="004334A0"/>
    <w:rsid w:val="00440FD0"/>
    <w:rsid w:val="004431A0"/>
    <w:rsid w:val="004502A6"/>
    <w:rsid w:val="00461FA6"/>
    <w:rsid w:val="004652A4"/>
    <w:rsid w:val="00470BB1"/>
    <w:rsid w:val="00470EB7"/>
    <w:rsid w:val="00471B34"/>
    <w:rsid w:val="004722C5"/>
    <w:rsid w:val="004800E0"/>
    <w:rsid w:val="00480C27"/>
    <w:rsid w:val="00485036"/>
    <w:rsid w:val="004913A2"/>
    <w:rsid w:val="00494A58"/>
    <w:rsid w:val="004B7394"/>
    <w:rsid w:val="004C0960"/>
    <w:rsid w:val="004C34F0"/>
    <w:rsid w:val="004C4645"/>
    <w:rsid w:val="004D3586"/>
    <w:rsid w:val="00502EA3"/>
    <w:rsid w:val="00506920"/>
    <w:rsid w:val="00515C57"/>
    <w:rsid w:val="00517AF4"/>
    <w:rsid w:val="005234B4"/>
    <w:rsid w:val="00527295"/>
    <w:rsid w:val="00533896"/>
    <w:rsid w:val="00534EDE"/>
    <w:rsid w:val="00545EF2"/>
    <w:rsid w:val="0056225F"/>
    <w:rsid w:val="0057290C"/>
    <w:rsid w:val="00585B9B"/>
    <w:rsid w:val="00585F78"/>
    <w:rsid w:val="00586BEC"/>
    <w:rsid w:val="00593265"/>
    <w:rsid w:val="00595728"/>
    <w:rsid w:val="00595D06"/>
    <w:rsid w:val="005A17E5"/>
    <w:rsid w:val="005A1F70"/>
    <w:rsid w:val="005A7123"/>
    <w:rsid w:val="005A7241"/>
    <w:rsid w:val="005B1E2B"/>
    <w:rsid w:val="005B3955"/>
    <w:rsid w:val="005B3FB4"/>
    <w:rsid w:val="005C76C6"/>
    <w:rsid w:val="005D698B"/>
    <w:rsid w:val="005E18B2"/>
    <w:rsid w:val="005E2450"/>
    <w:rsid w:val="005F148A"/>
    <w:rsid w:val="005F52C7"/>
    <w:rsid w:val="005F74A0"/>
    <w:rsid w:val="0060517D"/>
    <w:rsid w:val="00627870"/>
    <w:rsid w:val="0063343F"/>
    <w:rsid w:val="00635EA2"/>
    <w:rsid w:val="00636DE7"/>
    <w:rsid w:val="00637E5A"/>
    <w:rsid w:val="00646F48"/>
    <w:rsid w:val="0065329B"/>
    <w:rsid w:val="0065634D"/>
    <w:rsid w:val="00657790"/>
    <w:rsid w:val="00664F3C"/>
    <w:rsid w:val="00672925"/>
    <w:rsid w:val="00677033"/>
    <w:rsid w:val="00692D67"/>
    <w:rsid w:val="00695E7C"/>
    <w:rsid w:val="006A58BF"/>
    <w:rsid w:val="006A7924"/>
    <w:rsid w:val="006B0B5C"/>
    <w:rsid w:val="006B36B5"/>
    <w:rsid w:val="006B602F"/>
    <w:rsid w:val="006B70FC"/>
    <w:rsid w:val="006B7DFE"/>
    <w:rsid w:val="006C11E3"/>
    <w:rsid w:val="006E4EE6"/>
    <w:rsid w:val="006E75CF"/>
    <w:rsid w:val="006F21C6"/>
    <w:rsid w:val="006F2265"/>
    <w:rsid w:val="006F4B02"/>
    <w:rsid w:val="00700F0F"/>
    <w:rsid w:val="0070214E"/>
    <w:rsid w:val="00702B49"/>
    <w:rsid w:val="0070588E"/>
    <w:rsid w:val="00705F1D"/>
    <w:rsid w:val="007065AC"/>
    <w:rsid w:val="00717CF2"/>
    <w:rsid w:val="007218C2"/>
    <w:rsid w:val="00723CA3"/>
    <w:rsid w:val="0072451D"/>
    <w:rsid w:val="00726E9D"/>
    <w:rsid w:val="00730795"/>
    <w:rsid w:val="00730F39"/>
    <w:rsid w:val="0073419B"/>
    <w:rsid w:val="007362CF"/>
    <w:rsid w:val="00740C6C"/>
    <w:rsid w:val="00744D27"/>
    <w:rsid w:val="0075394F"/>
    <w:rsid w:val="00753EA8"/>
    <w:rsid w:val="007541C7"/>
    <w:rsid w:val="007601D4"/>
    <w:rsid w:val="0076498C"/>
    <w:rsid w:val="00777A81"/>
    <w:rsid w:val="007861F9"/>
    <w:rsid w:val="00786DE9"/>
    <w:rsid w:val="0079276C"/>
    <w:rsid w:val="0079457E"/>
    <w:rsid w:val="00796B18"/>
    <w:rsid w:val="00797DB3"/>
    <w:rsid w:val="007A44E6"/>
    <w:rsid w:val="007A52F0"/>
    <w:rsid w:val="007B2546"/>
    <w:rsid w:val="007D15B9"/>
    <w:rsid w:val="007D2F1B"/>
    <w:rsid w:val="007D3959"/>
    <w:rsid w:val="007D5C90"/>
    <w:rsid w:val="007E1736"/>
    <w:rsid w:val="007E3AAB"/>
    <w:rsid w:val="007E6B4A"/>
    <w:rsid w:val="008000CB"/>
    <w:rsid w:val="0080194A"/>
    <w:rsid w:val="00807148"/>
    <w:rsid w:val="008118DF"/>
    <w:rsid w:val="00817454"/>
    <w:rsid w:val="008212FE"/>
    <w:rsid w:val="0082275F"/>
    <w:rsid w:val="0082317F"/>
    <w:rsid w:val="0082398D"/>
    <w:rsid w:val="00835006"/>
    <w:rsid w:val="00836169"/>
    <w:rsid w:val="008410B5"/>
    <w:rsid w:val="00841D0F"/>
    <w:rsid w:val="00843021"/>
    <w:rsid w:val="00844F3B"/>
    <w:rsid w:val="0085194E"/>
    <w:rsid w:val="00853443"/>
    <w:rsid w:val="00854F8A"/>
    <w:rsid w:val="008609AA"/>
    <w:rsid w:val="00863228"/>
    <w:rsid w:val="008763BA"/>
    <w:rsid w:val="00876EEA"/>
    <w:rsid w:val="0088429A"/>
    <w:rsid w:val="00886C70"/>
    <w:rsid w:val="008877E2"/>
    <w:rsid w:val="008932AC"/>
    <w:rsid w:val="0089671B"/>
    <w:rsid w:val="008A07E2"/>
    <w:rsid w:val="008A407B"/>
    <w:rsid w:val="008A6BC3"/>
    <w:rsid w:val="008B06A4"/>
    <w:rsid w:val="008B5810"/>
    <w:rsid w:val="008D1622"/>
    <w:rsid w:val="008E5741"/>
    <w:rsid w:val="008F6A8D"/>
    <w:rsid w:val="008F6F97"/>
    <w:rsid w:val="008F7BFA"/>
    <w:rsid w:val="00900976"/>
    <w:rsid w:val="009040D4"/>
    <w:rsid w:val="009063F7"/>
    <w:rsid w:val="00910AB5"/>
    <w:rsid w:val="009124A8"/>
    <w:rsid w:val="00912FCB"/>
    <w:rsid w:val="00915A08"/>
    <w:rsid w:val="00917733"/>
    <w:rsid w:val="0092205F"/>
    <w:rsid w:val="009224A3"/>
    <w:rsid w:val="0092531F"/>
    <w:rsid w:val="00925EEE"/>
    <w:rsid w:val="00933064"/>
    <w:rsid w:val="009421F9"/>
    <w:rsid w:val="0094236C"/>
    <w:rsid w:val="0094645F"/>
    <w:rsid w:val="009536BC"/>
    <w:rsid w:val="00956580"/>
    <w:rsid w:val="00962014"/>
    <w:rsid w:val="00977D4A"/>
    <w:rsid w:val="0098067C"/>
    <w:rsid w:val="009818B6"/>
    <w:rsid w:val="00982ECC"/>
    <w:rsid w:val="00985A68"/>
    <w:rsid w:val="00995484"/>
    <w:rsid w:val="009A231B"/>
    <w:rsid w:val="009B0556"/>
    <w:rsid w:val="009B1AEC"/>
    <w:rsid w:val="009B7E5F"/>
    <w:rsid w:val="009D7E9D"/>
    <w:rsid w:val="009E54E1"/>
    <w:rsid w:val="009E6215"/>
    <w:rsid w:val="009F21F2"/>
    <w:rsid w:val="009F5665"/>
    <w:rsid w:val="009F5F94"/>
    <w:rsid w:val="009F70E8"/>
    <w:rsid w:val="00A016F6"/>
    <w:rsid w:val="00A04D1C"/>
    <w:rsid w:val="00A077B9"/>
    <w:rsid w:val="00A14E6D"/>
    <w:rsid w:val="00A15D9F"/>
    <w:rsid w:val="00A172E8"/>
    <w:rsid w:val="00A2072F"/>
    <w:rsid w:val="00A302DC"/>
    <w:rsid w:val="00A34930"/>
    <w:rsid w:val="00A36E17"/>
    <w:rsid w:val="00A4480A"/>
    <w:rsid w:val="00A51F14"/>
    <w:rsid w:val="00A52323"/>
    <w:rsid w:val="00A536FB"/>
    <w:rsid w:val="00A56037"/>
    <w:rsid w:val="00A6048B"/>
    <w:rsid w:val="00A607EE"/>
    <w:rsid w:val="00A62AD1"/>
    <w:rsid w:val="00A7143D"/>
    <w:rsid w:val="00A7214D"/>
    <w:rsid w:val="00A7449D"/>
    <w:rsid w:val="00A74C8D"/>
    <w:rsid w:val="00A75DB9"/>
    <w:rsid w:val="00A829D4"/>
    <w:rsid w:val="00A922CF"/>
    <w:rsid w:val="00A939A6"/>
    <w:rsid w:val="00A93F86"/>
    <w:rsid w:val="00A94480"/>
    <w:rsid w:val="00A95930"/>
    <w:rsid w:val="00A96999"/>
    <w:rsid w:val="00AA51D1"/>
    <w:rsid w:val="00AA581F"/>
    <w:rsid w:val="00AB47C9"/>
    <w:rsid w:val="00AB7D76"/>
    <w:rsid w:val="00AC7C43"/>
    <w:rsid w:val="00AD35EE"/>
    <w:rsid w:val="00AD44D7"/>
    <w:rsid w:val="00AE2D8D"/>
    <w:rsid w:val="00AE5E35"/>
    <w:rsid w:val="00AE6609"/>
    <w:rsid w:val="00AF5120"/>
    <w:rsid w:val="00B03FD5"/>
    <w:rsid w:val="00B05323"/>
    <w:rsid w:val="00B053CB"/>
    <w:rsid w:val="00B0638B"/>
    <w:rsid w:val="00B06AC6"/>
    <w:rsid w:val="00B06FE9"/>
    <w:rsid w:val="00B10F43"/>
    <w:rsid w:val="00B117C4"/>
    <w:rsid w:val="00B16171"/>
    <w:rsid w:val="00B1748C"/>
    <w:rsid w:val="00B22A45"/>
    <w:rsid w:val="00B31062"/>
    <w:rsid w:val="00B31E11"/>
    <w:rsid w:val="00B40659"/>
    <w:rsid w:val="00B4545E"/>
    <w:rsid w:val="00B523D6"/>
    <w:rsid w:val="00B62E51"/>
    <w:rsid w:val="00B7516B"/>
    <w:rsid w:val="00B80100"/>
    <w:rsid w:val="00B8025B"/>
    <w:rsid w:val="00B835D4"/>
    <w:rsid w:val="00B9582C"/>
    <w:rsid w:val="00B95AE9"/>
    <w:rsid w:val="00B96DE0"/>
    <w:rsid w:val="00BA5C8D"/>
    <w:rsid w:val="00BC3D1B"/>
    <w:rsid w:val="00BC6F19"/>
    <w:rsid w:val="00BD0FC6"/>
    <w:rsid w:val="00BD44F2"/>
    <w:rsid w:val="00BF29A4"/>
    <w:rsid w:val="00C034FA"/>
    <w:rsid w:val="00C100FB"/>
    <w:rsid w:val="00C1725A"/>
    <w:rsid w:val="00C177DE"/>
    <w:rsid w:val="00C3078D"/>
    <w:rsid w:val="00C33A7E"/>
    <w:rsid w:val="00C40D28"/>
    <w:rsid w:val="00C467EA"/>
    <w:rsid w:val="00C46EFC"/>
    <w:rsid w:val="00C51EF7"/>
    <w:rsid w:val="00C52911"/>
    <w:rsid w:val="00C52BC4"/>
    <w:rsid w:val="00C637CE"/>
    <w:rsid w:val="00C84349"/>
    <w:rsid w:val="00C8471F"/>
    <w:rsid w:val="00C90856"/>
    <w:rsid w:val="00C91752"/>
    <w:rsid w:val="00C97375"/>
    <w:rsid w:val="00CA52A2"/>
    <w:rsid w:val="00CB0F16"/>
    <w:rsid w:val="00CB1E8D"/>
    <w:rsid w:val="00CB20FA"/>
    <w:rsid w:val="00CB21D9"/>
    <w:rsid w:val="00CB64AB"/>
    <w:rsid w:val="00CC3865"/>
    <w:rsid w:val="00CC62DE"/>
    <w:rsid w:val="00CC6CEF"/>
    <w:rsid w:val="00CD18EF"/>
    <w:rsid w:val="00CD6FEE"/>
    <w:rsid w:val="00CE4419"/>
    <w:rsid w:val="00CF0138"/>
    <w:rsid w:val="00CF5C99"/>
    <w:rsid w:val="00D07037"/>
    <w:rsid w:val="00D17C0E"/>
    <w:rsid w:val="00D207B5"/>
    <w:rsid w:val="00D304A3"/>
    <w:rsid w:val="00D32A6D"/>
    <w:rsid w:val="00D3585C"/>
    <w:rsid w:val="00D44641"/>
    <w:rsid w:val="00D45DDE"/>
    <w:rsid w:val="00D45EA8"/>
    <w:rsid w:val="00D465C8"/>
    <w:rsid w:val="00D46802"/>
    <w:rsid w:val="00D505A1"/>
    <w:rsid w:val="00D505DD"/>
    <w:rsid w:val="00D56619"/>
    <w:rsid w:val="00D63E3A"/>
    <w:rsid w:val="00D63F46"/>
    <w:rsid w:val="00D73B43"/>
    <w:rsid w:val="00D82395"/>
    <w:rsid w:val="00D8332F"/>
    <w:rsid w:val="00D836EE"/>
    <w:rsid w:val="00D86445"/>
    <w:rsid w:val="00D96066"/>
    <w:rsid w:val="00DA2F01"/>
    <w:rsid w:val="00DA71C0"/>
    <w:rsid w:val="00DA72B5"/>
    <w:rsid w:val="00DB3978"/>
    <w:rsid w:val="00DB3B34"/>
    <w:rsid w:val="00DB640D"/>
    <w:rsid w:val="00DC01CC"/>
    <w:rsid w:val="00DC0AF3"/>
    <w:rsid w:val="00DD1BA2"/>
    <w:rsid w:val="00DD1EB8"/>
    <w:rsid w:val="00DD20B3"/>
    <w:rsid w:val="00DD33C9"/>
    <w:rsid w:val="00DD4816"/>
    <w:rsid w:val="00DD56FD"/>
    <w:rsid w:val="00DD7B2D"/>
    <w:rsid w:val="00DE23B6"/>
    <w:rsid w:val="00DE7FF3"/>
    <w:rsid w:val="00DF2EEF"/>
    <w:rsid w:val="00E05461"/>
    <w:rsid w:val="00E1457E"/>
    <w:rsid w:val="00E14865"/>
    <w:rsid w:val="00E14D11"/>
    <w:rsid w:val="00E212F7"/>
    <w:rsid w:val="00E213EA"/>
    <w:rsid w:val="00E23A4A"/>
    <w:rsid w:val="00E33B25"/>
    <w:rsid w:val="00E3418D"/>
    <w:rsid w:val="00E36904"/>
    <w:rsid w:val="00E424EE"/>
    <w:rsid w:val="00E54B4C"/>
    <w:rsid w:val="00E55425"/>
    <w:rsid w:val="00E61416"/>
    <w:rsid w:val="00E67F40"/>
    <w:rsid w:val="00E70E7E"/>
    <w:rsid w:val="00E71DF9"/>
    <w:rsid w:val="00E727AF"/>
    <w:rsid w:val="00E73CD1"/>
    <w:rsid w:val="00E8579B"/>
    <w:rsid w:val="00E862F2"/>
    <w:rsid w:val="00E87A01"/>
    <w:rsid w:val="00E930D0"/>
    <w:rsid w:val="00E93A70"/>
    <w:rsid w:val="00EA0F32"/>
    <w:rsid w:val="00EA2D08"/>
    <w:rsid w:val="00EA44BE"/>
    <w:rsid w:val="00EA5843"/>
    <w:rsid w:val="00EA78A7"/>
    <w:rsid w:val="00EB0E8B"/>
    <w:rsid w:val="00EB3892"/>
    <w:rsid w:val="00EB42D3"/>
    <w:rsid w:val="00EB7D13"/>
    <w:rsid w:val="00EC0695"/>
    <w:rsid w:val="00EC177D"/>
    <w:rsid w:val="00EC2079"/>
    <w:rsid w:val="00EC31BE"/>
    <w:rsid w:val="00EC412E"/>
    <w:rsid w:val="00EC590D"/>
    <w:rsid w:val="00EC6528"/>
    <w:rsid w:val="00ED496D"/>
    <w:rsid w:val="00ED576C"/>
    <w:rsid w:val="00EE7CC4"/>
    <w:rsid w:val="00EF2904"/>
    <w:rsid w:val="00EF2A30"/>
    <w:rsid w:val="00EF4426"/>
    <w:rsid w:val="00EF6E65"/>
    <w:rsid w:val="00F034F7"/>
    <w:rsid w:val="00F057AC"/>
    <w:rsid w:val="00F111A0"/>
    <w:rsid w:val="00F1122E"/>
    <w:rsid w:val="00F14BD5"/>
    <w:rsid w:val="00F24B0C"/>
    <w:rsid w:val="00F27BA4"/>
    <w:rsid w:val="00F31280"/>
    <w:rsid w:val="00F3379D"/>
    <w:rsid w:val="00F4245A"/>
    <w:rsid w:val="00F4350A"/>
    <w:rsid w:val="00F448C8"/>
    <w:rsid w:val="00F470DC"/>
    <w:rsid w:val="00F47F1C"/>
    <w:rsid w:val="00F51350"/>
    <w:rsid w:val="00F5297F"/>
    <w:rsid w:val="00F54D0B"/>
    <w:rsid w:val="00F55978"/>
    <w:rsid w:val="00F62510"/>
    <w:rsid w:val="00F65061"/>
    <w:rsid w:val="00F65A5A"/>
    <w:rsid w:val="00F67BA1"/>
    <w:rsid w:val="00F700BC"/>
    <w:rsid w:val="00F7451E"/>
    <w:rsid w:val="00F76690"/>
    <w:rsid w:val="00F766CE"/>
    <w:rsid w:val="00F77056"/>
    <w:rsid w:val="00F87B1F"/>
    <w:rsid w:val="00F907E4"/>
    <w:rsid w:val="00F9342E"/>
    <w:rsid w:val="00F95383"/>
    <w:rsid w:val="00F963E2"/>
    <w:rsid w:val="00F97721"/>
    <w:rsid w:val="00FA717B"/>
    <w:rsid w:val="00FB6CC0"/>
    <w:rsid w:val="00FB7855"/>
    <w:rsid w:val="00FC34B4"/>
    <w:rsid w:val="00FC428A"/>
    <w:rsid w:val="00FC476F"/>
    <w:rsid w:val="00FC5779"/>
    <w:rsid w:val="00FE22CF"/>
    <w:rsid w:val="00FE3A23"/>
    <w:rsid w:val="00FF328A"/>
    <w:rsid w:val="00FF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F61"/>
  <w15:docId w15:val="{5FF69E41-55E1-4418-BDB2-C0E005A7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A03"/>
    <w:rPr>
      <w:rFonts w:ascii="Tahoma" w:hAnsi="Tahoma" w:cs="Tahoma"/>
      <w:sz w:val="16"/>
      <w:szCs w:val="16"/>
    </w:rPr>
  </w:style>
  <w:style w:type="character" w:styleId="Hyperlink">
    <w:name w:val="Hyperlink"/>
    <w:basedOn w:val="DefaultParagraphFont"/>
    <w:uiPriority w:val="99"/>
    <w:unhideWhenUsed/>
    <w:rsid w:val="00256793"/>
    <w:rPr>
      <w:color w:val="0000FF" w:themeColor="hyperlink"/>
      <w:u w:val="single"/>
    </w:rPr>
  </w:style>
  <w:style w:type="character" w:styleId="UnresolvedMention">
    <w:name w:val="Unresolved Mention"/>
    <w:basedOn w:val="DefaultParagraphFont"/>
    <w:uiPriority w:val="99"/>
    <w:semiHidden/>
    <w:unhideWhenUsed/>
    <w:rsid w:val="00256793"/>
    <w:rPr>
      <w:color w:val="605E5C"/>
      <w:shd w:val="clear" w:color="auto" w:fill="E1DFDD"/>
    </w:rPr>
  </w:style>
  <w:style w:type="paragraph" w:styleId="ListParagraph">
    <w:name w:val="List Paragraph"/>
    <w:basedOn w:val="Normal"/>
    <w:uiPriority w:val="34"/>
    <w:qFormat/>
    <w:rsid w:val="00CB2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8416">
      <w:bodyDiv w:val="1"/>
      <w:marLeft w:val="0"/>
      <w:marRight w:val="0"/>
      <w:marTop w:val="0"/>
      <w:marBottom w:val="0"/>
      <w:divBdr>
        <w:top w:val="none" w:sz="0" w:space="0" w:color="auto"/>
        <w:left w:val="none" w:sz="0" w:space="0" w:color="auto"/>
        <w:bottom w:val="none" w:sz="0" w:space="0" w:color="auto"/>
        <w:right w:val="none" w:sz="0" w:space="0" w:color="auto"/>
      </w:divBdr>
    </w:div>
    <w:div w:id="552304281">
      <w:bodyDiv w:val="1"/>
      <w:marLeft w:val="0"/>
      <w:marRight w:val="0"/>
      <w:marTop w:val="0"/>
      <w:marBottom w:val="0"/>
      <w:divBdr>
        <w:top w:val="none" w:sz="0" w:space="0" w:color="auto"/>
        <w:left w:val="none" w:sz="0" w:space="0" w:color="auto"/>
        <w:bottom w:val="none" w:sz="0" w:space="0" w:color="auto"/>
        <w:right w:val="none" w:sz="0" w:space="0" w:color="auto"/>
      </w:divBdr>
    </w:div>
    <w:div w:id="973607509">
      <w:bodyDiv w:val="1"/>
      <w:marLeft w:val="0"/>
      <w:marRight w:val="0"/>
      <w:marTop w:val="0"/>
      <w:marBottom w:val="0"/>
      <w:divBdr>
        <w:top w:val="none" w:sz="0" w:space="0" w:color="auto"/>
        <w:left w:val="none" w:sz="0" w:space="0" w:color="auto"/>
        <w:bottom w:val="none" w:sz="0" w:space="0" w:color="auto"/>
        <w:right w:val="none" w:sz="0" w:space="0" w:color="auto"/>
      </w:divBdr>
    </w:div>
    <w:div w:id="1003050706">
      <w:bodyDiv w:val="1"/>
      <w:marLeft w:val="0"/>
      <w:marRight w:val="0"/>
      <w:marTop w:val="0"/>
      <w:marBottom w:val="0"/>
      <w:divBdr>
        <w:top w:val="none" w:sz="0" w:space="0" w:color="auto"/>
        <w:left w:val="none" w:sz="0" w:space="0" w:color="auto"/>
        <w:bottom w:val="none" w:sz="0" w:space="0" w:color="auto"/>
        <w:right w:val="none" w:sz="0" w:space="0" w:color="auto"/>
      </w:divBdr>
    </w:div>
    <w:div w:id="1194732952">
      <w:bodyDiv w:val="1"/>
      <w:marLeft w:val="0"/>
      <w:marRight w:val="0"/>
      <w:marTop w:val="0"/>
      <w:marBottom w:val="0"/>
      <w:divBdr>
        <w:top w:val="none" w:sz="0" w:space="0" w:color="auto"/>
        <w:left w:val="none" w:sz="0" w:space="0" w:color="auto"/>
        <w:bottom w:val="none" w:sz="0" w:space="0" w:color="auto"/>
        <w:right w:val="none" w:sz="0" w:space="0" w:color="auto"/>
      </w:divBdr>
    </w:div>
    <w:div w:id="1488785818">
      <w:bodyDiv w:val="1"/>
      <w:marLeft w:val="0"/>
      <w:marRight w:val="0"/>
      <w:marTop w:val="0"/>
      <w:marBottom w:val="0"/>
      <w:divBdr>
        <w:top w:val="none" w:sz="0" w:space="0" w:color="auto"/>
        <w:left w:val="none" w:sz="0" w:space="0" w:color="auto"/>
        <w:bottom w:val="none" w:sz="0" w:space="0" w:color="auto"/>
        <w:right w:val="none" w:sz="0" w:space="0" w:color="auto"/>
      </w:divBdr>
    </w:div>
    <w:div w:id="1715691340">
      <w:bodyDiv w:val="1"/>
      <w:marLeft w:val="0"/>
      <w:marRight w:val="0"/>
      <w:marTop w:val="0"/>
      <w:marBottom w:val="0"/>
      <w:divBdr>
        <w:top w:val="none" w:sz="0" w:space="0" w:color="auto"/>
        <w:left w:val="none" w:sz="0" w:space="0" w:color="auto"/>
        <w:bottom w:val="none" w:sz="0" w:space="0" w:color="auto"/>
        <w:right w:val="none" w:sz="0" w:space="0" w:color="auto"/>
      </w:divBdr>
    </w:div>
    <w:div w:id="1739547039">
      <w:bodyDiv w:val="1"/>
      <w:marLeft w:val="0"/>
      <w:marRight w:val="0"/>
      <w:marTop w:val="0"/>
      <w:marBottom w:val="0"/>
      <w:divBdr>
        <w:top w:val="none" w:sz="0" w:space="0" w:color="auto"/>
        <w:left w:val="none" w:sz="0" w:space="0" w:color="auto"/>
        <w:bottom w:val="none" w:sz="0" w:space="0" w:color="auto"/>
        <w:right w:val="none" w:sz="0" w:space="0" w:color="auto"/>
      </w:divBdr>
    </w:div>
    <w:div w:id="20370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legis.us/senate/committees/27/agriculture-and-rural-affai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427</Words>
  <Characters>2479</Characters>
  <Application>Microsoft Office Word</Application>
  <DocSecurity>0</DocSecurity>
  <Lines>67</Lines>
  <Paragraphs>69</Paragraphs>
  <ScaleCrop>false</ScaleCrop>
  <HeadingPairs>
    <vt:vector size="2" baseType="variant">
      <vt:variant>
        <vt:lpstr>Title</vt:lpstr>
      </vt:variant>
      <vt:variant>
        <vt:i4>1</vt:i4>
      </vt:variant>
    </vt:vector>
  </HeadingPairs>
  <TitlesOfParts>
    <vt:vector size="1" baseType="lpstr">
      <vt:lpstr/>
    </vt:vector>
  </TitlesOfParts>
  <Company>County of Lancaster</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Matthew Knepper</cp:lastModifiedBy>
  <cp:revision>6</cp:revision>
  <cp:lastPrinted>2023-11-13T18:15:00Z</cp:lastPrinted>
  <dcterms:created xsi:type="dcterms:W3CDTF">2026-03-30T14:45:00Z</dcterms:created>
  <dcterms:modified xsi:type="dcterms:W3CDTF">2026-03-30T17:13:00Z</dcterms:modified>
</cp:coreProperties>
</file>